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BF5" w:rsidRPr="00E761E0" w:rsidRDefault="00E761E0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E761E0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2A3BF5" w:rsidRPr="00E761E0" w:rsidRDefault="00E761E0">
      <w:pPr>
        <w:spacing w:before="283"/>
        <w:ind w:left="283" w:right="283"/>
        <w:jc w:val="center"/>
        <w:rPr>
          <w:rFonts w:ascii="Times New Roman" w:hAnsi="Times New Roman" w:cs="Times New Roman"/>
          <w:b/>
          <w:bCs/>
          <w:lang w:val="ru-RU"/>
        </w:rPr>
      </w:pPr>
      <w:r w:rsidRPr="00E761E0">
        <w:rPr>
          <w:rFonts w:ascii="Times New Roman" w:hAnsi="Times New Roman" w:cs="Times New Roman"/>
          <w:b/>
          <w:bCs/>
          <w:lang w:val="ru-RU"/>
        </w:rPr>
        <w:t>Приобретение персональных компьютеров</w:t>
      </w:r>
    </w:p>
    <w:p w:rsidR="002A3BF5" w:rsidRPr="00E761E0" w:rsidRDefault="00E761E0">
      <w:pPr>
        <w:spacing w:before="113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E761E0">
        <w:rPr>
          <w:rFonts w:ascii="Times New Roman" w:hAnsi="Times New Roman" w:cs="Times New Roman"/>
          <w:b/>
          <w:bCs/>
        </w:rPr>
        <w:t>Код</w:t>
      </w:r>
      <w:proofErr w:type="spellEnd"/>
      <w:r w:rsidRPr="00E761E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E761E0">
        <w:rPr>
          <w:rFonts w:ascii="Times New Roman" w:hAnsi="Times New Roman" w:cs="Times New Roman"/>
          <w:b/>
          <w:bCs/>
        </w:rPr>
        <w:t>проекта</w:t>
      </w:r>
      <w:proofErr w:type="spellEnd"/>
      <w:r w:rsidRPr="00E761E0">
        <w:rPr>
          <w:rFonts w:ascii="Times New Roman" w:hAnsi="Times New Roman" w:cs="Times New Roman"/>
          <w:b/>
          <w:bCs/>
        </w:rPr>
        <w:t xml:space="preserve"> - 15.01.10007</w:t>
      </w:r>
    </w:p>
    <w:p w:rsidR="002A3BF5" w:rsidRPr="00E761E0" w:rsidRDefault="00E761E0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E761E0">
        <w:rPr>
          <w:rFonts w:ascii="Times New Roman" w:hAnsi="Times New Roman" w:cs="Times New Roman"/>
        </w:rPr>
        <w:t>ОПИСАНИЕ ИПКВ ИТ</w:t>
      </w:r>
    </w:p>
    <w:p w:rsidR="002A3BF5" w:rsidRPr="00E761E0" w:rsidRDefault="00E761E0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E761E0">
        <w:rPr>
          <w:rFonts w:ascii="Times New Roman" w:hAnsi="Times New Roman" w:cs="Times New Roman"/>
        </w:rPr>
        <w:t>Объект</w:t>
      </w:r>
      <w:proofErr w:type="spellEnd"/>
      <w:r w:rsidRPr="00E761E0">
        <w:rPr>
          <w:rFonts w:ascii="Times New Roman" w:hAnsi="Times New Roman" w:cs="Times New Roman"/>
        </w:rPr>
        <w:t xml:space="preserve"> </w:t>
      </w:r>
      <w:proofErr w:type="spellStart"/>
      <w:r w:rsidRPr="00E761E0">
        <w:rPr>
          <w:rFonts w:ascii="Times New Roman" w:hAnsi="Times New Roman" w:cs="Times New Roman"/>
        </w:rPr>
        <w:t>вложения</w:t>
      </w:r>
      <w:proofErr w:type="spellEnd"/>
      <w:r w:rsidRPr="00E761E0">
        <w:rPr>
          <w:rFonts w:ascii="Times New Roman" w:hAnsi="Times New Roman" w:cs="Times New Roman"/>
        </w:rPr>
        <w:t xml:space="preserve"> </w:t>
      </w:r>
      <w:proofErr w:type="spellStart"/>
      <w:r w:rsidRPr="00E761E0">
        <w:rPr>
          <w:rFonts w:ascii="Times New Roman" w:hAnsi="Times New Roman" w:cs="Times New Roman"/>
        </w:rPr>
        <w:t>средств</w:t>
      </w:r>
      <w:proofErr w:type="spellEnd"/>
    </w:p>
    <w:p w:rsidR="002A3BF5" w:rsidRPr="00E761E0" w:rsidRDefault="00E761E0">
      <w:pPr>
        <w:rPr>
          <w:rFonts w:ascii="Times New Roman" w:hAnsi="Times New Roman" w:cs="Times New Roman"/>
        </w:rPr>
      </w:pPr>
      <w:r w:rsidRPr="00E761E0">
        <w:rPr>
          <w:rFonts w:ascii="Times New Roman" w:hAnsi="Times New Roman" w:cs="Times New Roman"/>
        </w:rPr>
        <w:t>АО "Петербургская сбытовая компания"</w:t>
      </w:r>
    </w:p>
    <w:p w:rsidR="002A3BF5" w:rsidRPr="00E761E0" w:rsidRDefault="00E761E0">
      <w:pPr>
        <w:spacing w:before="283" w:after="283"/>
        <w:rPr>
          <w:rFonts w:ascii="Times New Roman" w:hAnsi="Times New Roman" w:cs="Times New Roman"/>
          <w:b/>
          <w:bCs/>
        </w:rPr>
      </w:pPr>
      <w:proofErr w:type="spellStart"/>
      <w:r w:rsidRPr="00E761E0">
        <w:rPr>
          <w:rFonts w:ascii="Times New Roman" w:hAnsi="Times New Roman" w:cs="Times New Roman"/>
          <w:b/>
          <w:bCs/>
        </w:rPr>
        <w:t>Объект</w:t>
      </w:r>
      <w:proofErr w:type="spellEnd"/>
      <w:r w:rsidRPr="00E761E0">
        <w:rPr>
          <w:rFonts w:ascii="Times New Roman" w:hAnsi="Times New Roman" w:cs="Times New Roman"/>
          <w:b/>
          <w:bCs/>
        </w:rPr>
        <w:t xml:space="preserve"> ОС:</w:t>
      </w:r>
    </w:p>
    <w:p w:rsidR="002A3BF5" w:rsidRPr="00E761E0" w:rsidRDefault="00E761E0" w:rsidP="00E761E0">
      <w:pPr>
        <w:jc w:val="both"/>
        <w:rPr>
          <w:rFonts w:ascii="Times New Roman" w:hAnsi="Times New Roman" w:cs="Times New Roman"/>
        </w:rPr>
      </w:pPr>
      <w:r w:rsidRPr="00E761E0">
        <w:rPr>
          <w:rFonts w:ascii="Times New Roman" w:hAnsi="Times New Roman" w:cs="Times New Roman"/>
          <w:lang w:val="ru-RU"/>
        </w:rPr>
        <w:t xml:space="preserve">АО «Петербургская сбытовая компания». Персональные компьютеры (2025 г. - 300 шт.). </w:t>
      </w:r>
      <w:proofErr w:type="spellStart"/>
      <w:r w:rsidRPr="00E761E0">
        <w:rPr>
          <w:rFonts w:ascii="Times New Roman" w:hAnsi="Times New Roman" w:cs="Times New Roman"/>
        </w:rPr>
        <w:t>Новые</w:t>
      </w:r>
      <w:proofErr w:type="spellEnd"/>
      <w:r w:rsidRPr="00E761E0">
        <w:rPr>
          <w:rFonts w:ascii="Times New Roman" w:hAnsi="Times New Roman" w:cs="Times New Roman"/>
        </w:rPr>
        <w:t xml:space="preserve"> </w:t>
      </w:r>
      <w:proofErr w:type="spellStart"/>
      <w:r w:rsidRPr="00E761E0">
        <w:rPr>
          <w:rFonts w:ascii="Times New Roman" w:hAnsi="Times New Roman" w:cs="Times New Roman"/>
        </w:rPr>
        <w:t>основные</w:t>
      </w:r>
      <w:proofErr w:type="spellEnd"/>
      <w:r w:rsidRPr="00E761E0">
        <w:rPr>
          <w:rFonts w:ascii="Times New Roman" w:hAnsi="Times New Roman" w:cs="Times New Roman"/>
        </w:rPr>
        <w:t xml:space="preserve"> </w:t>
      </w:r>
      <w:proofErr w:type="spellStart"/>
      <w:r w:rsidRPr="00E761E0">
        <w:rPr>
          <w:rFonts w:ascii="Times New Roman" w:hAnsi="Times New Roman" w:cs="Times New Roman"/>
        </w:rPr>
        <w:t>средства</w:t>
      </w:r>
      <w:proofErr w:type="spellEnd"/>
      <w:r w:rsidRPr="00E761E0">
        <w:rPr>
          <w:rFonts w:ascii="Times New Roman" w:hAnsi="Times New Roman" w:cs="Times New Roman"/>
        </w:rPr>
        <w:t>.</w:t>
      </w:r>
    </w:p>
    <w:p w:rsidR="002A3BF5" w:rsidRPr="00E761E0" w:rsidRDefault="00E761E0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E761E0">
        <w:rPr>
          <w:rFonts w:ascii="Times New Roman" w:hAnsi="Times New Roman" w:cs="Times New Roman"/>
        </w:rPr>
        <w:t>Предпосылки</w:t>
      </w:r>
      <w:proofErr w:type="spellEnd"/>
      <w:r w:rsidRPr="00E761E0">
        <w:rPr>
          <w:rFonts w:ascii="Times New Roman" w:hAnsi="Times New Roman" w:cs="Times New Roman"/>
        </w:rPr>
        <w:t xml:space="preserve"> / </w:t>
      </w:r>
      <w:proofErr w:type="spellStart"/>
      <w:r w:rsidRPr="00E761E0">
        <w:rPr>
          <w:rFonts w:ascii="Times New Roman" w:hAnsi="Times New Roman" w:cs="Times New Roman"/>
        </w:rPr>
        <w:t>необходимость</w:t>
      </w:r>
      <w:proofErr w:type="spellEnd"/>
      <w:r w:rsidRPr="00E761E0">
        <w:rPr>
          <w:rFonts w:ascii="Times New Roman" w:hAnsi="Times New Roman" w:cs="Times New Roman"/>
        </w:rPr>
        <w:t xml:space="preserve"> </w:t>
      </w:r>
      <w:proofErr w:type="spellStart"/>
      <w:r w:rsidRPr="00E761E0">
        <w:rPr>
          <w:rFonts w:ascii="Times New Roman" w:hAnsi="Times New Roman" w:cs="Times New Roman"/>
        </w:rPr>
        <w:t>реализации</w:t>
      </w:r>
      <w:proofErr w:type="spellEnd"/>
      <w:r w:rsidRPr="00E761E0">
        <w:rPr>
          <w:rFonts w:ascii="Times New Roman" w:hAnsi="Times New Roman" w:cs="Times New Roman"/>
        </w:rPr>
        <w:t xml:space="preserve"> ИПКВ ИТ</w:t>
      </w:r>
    </w:p>
    <w:p w:rsidR="002A3BF5" w:rsidRPr="00E761E0" w:rsidRDefault="00E761E0" w:rsidP="00E761E0">
      <w:pPr>
        <w:jc w:val="both"/>
        <w:rPr>
          <w:rFonts w:ascii="Times New Roman" w:hAnsi="Times New Roman" w:cs="Times New Roman"/>
          <w:lang w:val="ru-RU"/>
        </w:rPr>
      </w:pPr>
      <w:r w:rsidRPr="00E761E0">
        <w:rPr>
          <w:rFonts w:ascii="Times New Roman" w:eastAsia="Times New Roman" w:hAnsi="Times New Roman" w:cs="Times New Roman"/>
          <w:color w:val="333333"/>
          <w:lang w:val="ru-RU"/>
        </w:rPr>
        <w:t>В настоящее время в АО «Петербургская сбытовая компания» на рабочих местах пользователей используется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 значительное число персональных компьютеров (ПК), введенных в эксплуатацию до 2018 года и не соответствующих требованиям «Инструкции по обеспечению работников АО «Петербургская сбытовая компания» ИТ-оборудованием и ПО». Данные персональные компьютеры треб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уют замены. Приобретение современных персональных компьютеров необходимо для своевременной модернизации и оснащения рабочих мест пользователей АО «Петербургская сбытовая компания». </w:t>
      </w:r>
    </w:p>
    <w:p w:rsidR="002A3BF5" w:rsidRPr="00E761E0" w:rsidRDefault="00E761E0" w:rsidP="00E761E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761E0">
        <w:rPr>
          <w:rFonts w:ascii="Times New Roman" w:eastAsia="Times New Roman" w:hAnsi="Times New Roman" w:cs="Times New Roman"/>
          <w:color w:val="333333"/>
          <w:lang w:val="ru-RU"/>
        </w:rPr>
        <w:t>Карта текущего состояния парка ПК с учетом даты ввода в эксплуатацию в фай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ле «Расчет для планирования </w:t>
      </w:r>
      <w:proofErr w:type="spellStart"/>
      <w:proofErr w:type="gramStart"/>
      <w:r w:rsidRPr="00E761E0">
        <w:rPr>
          <w:rFonts w:ascii="Times New Roman" w:eastAsia="Times New Roman" w:hAnsi="Times New Roman" w:cs="Times New Roman"/>
          <w:color w:val="333333"/>
          <w:lang w:val="ru-RU"/>
        </w:rPr>
        <w:t>раб.мест</w:t>
      </w:r>
      <w:proofErr w:type="spellEnd"/>
      <w:proofErr w:type="gramEnd"/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 ДО.</w:t>
      </w:r>
      <w:r w:rsidRPr="00E761E0">
        <w:rPr>
          <w:rFonts w:ascii="Times New Roman" w:eastAsia="Times New Roman" w:hAnsi="Times New Roman" w:cs="Times New Roman"/>
          <w:color w:val="333333"/>
        </w:rPr>
        <w:t>xlsx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>».</w:t>
      </w:r>
    </w:p>
    <w:p w:rsidR="002A3BF5" w:rsidRPr="00E761E0" w:rsidRDefault="002A3BF5" w:rsidP="00E761E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2A3BF5" w:rsidRPr="00E761E0" w:rsidRDefault="002A3BF5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2A3BF5" w:rsidRPr="00E761E0" w:rsidRDefault="00E761E0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E761E0">
        <w:rPr>
          <w:rFonts w:ascii="Times New Roman" w:hAnsi="Times New Roman" w:cs="Times New Roman"/>
        </w:rPr>
        <w:t>Цель</w:t>
      </w:r>
      <w:proofErr w:type="spellEnd"/>
      <w:r w:rsidRPr="00E761E0">
        <w:rPr>
          <w:rFonts w:ascii="Times New Roman" w:hAnsi="Times New Roman" w:cs="Times New Roman"/>
        </w:rPr>
        <w:t xml:space="preserve"> ИПКВ ИТ</w:t>
      </w:r>
    </w:p>
    <w:p w:rsidR="002A3BF5" w:rsidRPr="00E761E0" w:rsidRDefault="00E761E0" w:rsidP="00E761E0">
      <w:pPr>
        <w:jc w:val="both"/>
        <w:rPr>
          <w:rFonts w:ascii="Times New Roman" w:hAnsi="Times New Roman" w:cs="Times New Roman"/>
          <w:lang w:val="ru-RU"/>
        </w:rPr>
      </w:pPr>
      <w:r w:rsidRPr="00E761E0">
        <w:rPr>
          <w:rFonts w:ascii="Times New Roman" w:hAnsi="Times New Roman" w:cs="Times New Roman"/>
          <w:lang w:val="ru-RU"/>
        </w:rPr>
        <w:t>Цель приобретения состоит в оснащении рабочих мест пользователей персональными компьютерами, конфигурация которых отвечает системным требованиям современного программного обеспечения, используем</w:t>
      </w:r>
      <w:r w:rsidRPr="00E761E0">
        <w:rPr>
          <w:rFonts w:ascii="Times New Roman" w:hAnsi="Times New Roman" w:cs="Times New Roman"/>
          <w:lang w:val="ru-RU"/>
        </w:rPr>
        <w:t>ого в АО «Петербургская сбытовая компания» и соответствует положениям «Инструкции по обеспечению работников АО «Петербургская сбытовая компания» ИТ-оборудованием и ПО».</w:t>
      </w:r>
    </w:p>
    <w:p w:rsidR="002A3BF5" w:rsidRPr="00E761E0" w:rsidRDefault="00E761E0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E761E0">
        <w:rPr>
          <w:rFonts w:ascii="Times New Roman" w:hAnsi="Times New Roman" w:cs="Times New Roman"/>
        </w:rPr>
        <w:t>Технические</w:t>
      </w:r>
      <w:proofErr w:type="spellEnd"/>
      <w:r w:rsidRPr="00E761E0">
        <w:rPr>
          <w:rFonts w:ascii="Times New Roman" w:hAnsi="Times New Roman" w:cs="Times New Roman"/>
        </w:rPr>
        <w:t xml:space="preserve"> </w:t>
      </w:r>
      <w:proofErr w:type="spellStart"/>
      <w:r w:rsidRPr="00E761E0">
        <w:rPr>
          <w:rFonts w:ascii="Times New Roman" w:hAnsi="Times New Roman" w:cs="Times New Roman"/>
        </w:rPr>
        <w:t>решения</w:t>
      </w:r>
      <w:proofErr w:type="spellEnd"/>
      <w:r w:rsidRPr="00E761E0">
        <w:rPr>
          <w:rFonts w:ascii="Times New Roman" w:hAnsi="Times New Roman" w:cs="Times New Roman"/>
        </w:rPr>
        <w:t xml:space="preserve"> ИПКВ ИТ</w:t>
      </w:r>
    </w:p>
    <w:p w:rsidR="002A3BF5" w:rsidRPr="00E761E0" w:rsidRDefault="00E761E0" w:rsidP="00E761E0">
      <w:pPr>
        <w:jc w:val="both"/>
        <w:rPr>
          <w:rFonts w:ascii="Times New Roman" w:hAnsi="Times New Roman" w:cs="Times New Roman"/>
          <w:lang w:val="ru-RU"/>
        </w:rPr>
      </w:pP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С учётом потребностей в оборудовании и скорости проведения 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работ по замене АРМ пользователей, принято решение о приобретении в 2025 году 300 шт. персональных компьютеров. </w:t>
      </w:r>
    </w:p>
    <w:p w:rsidR="002A3BF5" w:rsidRPr="00E761E0" w:rsidRDefault="00E761E0" w:rsidP="00E761E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В качестве АРМ, предполагается к приобретению ПЭВМ </w:t>
      </w:r>
      <w:r w:rsidRPr="00E761E0">
        <w:rPr>
          <w:rFonts w:ascii="Times New Roman" w:eastAsia="Times New Roman" w:hAnsi="Times New Roman" w:cs="Times New Roman"/>
          <w:color w:val="333333"/>
        </w:rPr>
        <w:t>ICL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proofErr w:type="spellStart"/>
      <w:r w:rsidRPr="00E761E0">
        <w:rPr>
          <w:rFonts w:ascii="Times New Roman" w:eastAsia="Times New Roman" w:hAnsi="Times New Roman" w:cs="Times New Roman"/>
          <w:color w:val="333333"/>
        </w:rPr>
        <w:t>BasicRay</w:t>
      </w:r>
      <w:proofErr w:type="spellEnd"/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 модели </w:t>
      </w:r>
      <w:r w:rsidRPr="00E761E0">
        <w:rPr>
          <w:rFonts w:ascii="Times New Roman" w:eastAsia="Times New Roman" w:hAnsi="Times New Roman" w:cs="Times New Roman"/>
          <w:color w:val="333333"/>
        </w:rPr>
        <w:t>B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103 </w:t>
      </w:r>
      <w:r w:rsidRPr="00E761E0">
        <w:rPr>
          <w:rFonts w:ascii="Times New Roman" w:eastAsia="Times New Roman" w:hAnsi="Times New Roman" w:cs="Times New Roman"/>
          <w:color w:val="333333"/>
        </w:rPr>
        <w:t>G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>3</w:t>
      </w:r>
      <w:r w:rsidRPr="00E761E0">
        <w:rPr>
          <w:rFonts w:ascii="Times New Roman" w:eastAsia="Times New Roman" w:hAnsi="Times New Roman" w:cs="Times New Roman"/>
          <w:color w:val="333333"/>
        </w:rPr>
        <w:t>R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 на базе процессора </w:t>
      </w:r>
      <w:r w:rsidRPr="00E761E0">
        <w:rPr>
          <w:rFonts w:ascii="Times New Roman" w:eastAsia="Times New Roman" w:hAnsi="Times New Roman" w:cs="Times New Roman"/>
          <w:color w:val="333333"/>
        </w:rPr>
        <w:t>Intel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 не ниже 12-го поколения, оснащенный оп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еративной памятью в размере 8 ГБ (не менее </w:t>
      </w:r>
      <w:r w:rsidRPr="00E761E0">
        <w:rPr>
          <w:rFonts w:ascii="Times New Roman" w:eastAsia="Times New Roman" w:hAnsi="Times New Roman" w:cs="Times New Roman"/>
          <w:color w:val="333333"/>
        </w:rPr>
        <w:t>DDR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>4 2666 (2 слота, максимальный объем 32 ГБ)), с установленным жестким диском не менее 256 ГБ (</w:t>
      </w:r>
      <w:r w:rsidRPr="00E761E0">
        <w:rPr>
          <w:rFonts w:ascii="Times New Roman" w:eastAsia="Times New Roman" w:hAnsi="Times New Roman" w:cs="Times New Roman"/>
          <w:color w:val="333333"/>
        </w:rPr>
        <w:t>SSD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), встроенным </w:t>
      </w:r>
      <w:r w:rsidRPr="00E761E0">
        <w:rPr>
          <w:rFonts w:ascii="Times New Roman" w:eastAsia="Times New Roman" w:hAnsi="Times New Roman" w:cs="Times New Roman"/>
          <w:color w:val="333333"/>
        </w:rPr>
        <w:t>Intel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E761E0">
        <w:rPr>
          <w:rFonts w:ascii="Times New Roman" w:eastAsia="Times New Roman" w:hAnsi="Times New Roman" w:cs="Times New Roman"/>
          <w:color w:val="333333"/>
        </w:rPr>
        <w:t>HD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E761E0">
        <w:rPr>
          <w:rFonts w:ascii="Times New Roman" w:eastAsia="Times New Roman" w:hAnsi="Times New Roman" w:cs="Times New Roman"/>
          <w:color w:val="333333"/>
        </w:rPr>
        <w:t>Graphics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 графическим адаптером, встроенным </w:t>
      </w:r>
      <w:r w:rsidRPr="00E761E0">
        <w:rPr>
          <w:rFonts w:ascii="Times New Roman" w:eastAsia="Times New Roman" w:hAnsi="Times New Roman" w:cs="Times New Roman"/>
          <w:color w:val="333333"/>
        </w:rPr>
        <w:t>Gigabit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E761E0">
        <w:rPr>
          <w:rFonts w:ascii="Times New Roman" w:eastAsia="Times New Roman" w:hAnsi="Times New Roman" w:cs="Times New Roman"/>
          <w:color w:val="333333"/>
        </w:rPr>
        <w:t>Ethernet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 сетевым, </w:t>
      </w:r>
      <w:r w:rsidRPr="00E761E0">
        <w:rPr>
          <w:rFonts w:ascii="Times New Roman" w:eastAsia="Times New Roman" w:hAnsi="Times New Roman" w:cs="Times New Roman"/>
          <w:color w:val="333333"/>
        </w:rPr>
        <w:t>HD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 аудио-адаптером. Ко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>мплект поставки (</w:t>
      </w:r>
      <w:r w:rsidRPr="00E761E0">
        <w:rPr>
          <w:rFonts w:ascii="Times New Roman" w:eastAsia="Times New Roman" w:hAnsi="Times New Roman" w:cs="Times New Roman"/>
          <w:color w:val="333333"/>
        </w:rPr>
        <w:t>bundle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) включает в себя блок питания, </w:t>
      </w:r>
      <w:r w:rsidRPr="00E761E0">
        <w:rPr>
          <w:rFonts w:ascii="Times New Roman" w:eastAsia="Times New Roman" w:hAnsi="Times New Roman" w:cs="Times New Roman"/>
          <w:color w:val="333333"/>
        </w:rPr>
        <w:t>VESA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-крепление, проводные </w:t>
      </w:r>
      <w:r w:rsidRPr="00E761E0">
        <w:rPr>
          <w:rFonts w:ascii="Times New Roman" w:eastAsia="Times New Roman" w:hAnsi="Times New Roman" w:cs="Times New Roman"/>
          <w:color w:val="333333"/>
        </w:rPr>
        <w:t>USB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 клавиатуру и оптическую мышь, монитор 23.8"с разрешением не менее 1920х1080.</w:t>
      </w:r>
    </w:p>
    <w:p w:rsidR="002A3BF5" w:rsidRPr="00E761E0" w:rsidRDefault="00E761E0" w:rsidP="00E761E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761E0">
        <w:rPr>
          <w:rFonts w:ascii="Times New Roman" w:eastAsia="Times New Roman" w:hAnsi="Times New Roman" w:cs="Times New Roman"/>
          <w:color w:val="333333"/>
          <w:lang w:val="ru-RU"/>
        </w:rPr>
        <w:lastRenderedPageBreak/>
        <w:t>АРМ поставляются без операционной системы. В рамках импортозамещения планируется установка оте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чественной ОС </w:t>
      </w:r>
      <w:r w:rsidRPr="00E761E0">
        <w:rPr>
          <w:rFonts w:ascii="Times New Roman" w:eastAsia="Times New Roman" w:hAnsi="Times New Roman" w:cs="Times New Roman"/>
          <w:color w:val="333333"/>
        </w:rPr>
        <w:t>Astra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E761E0">
        <w:rPr>
          <w:rFonts w:ascii="Times New Roman" w:eastAsia="Times New Roman" w:hAnsi="Times New Roman" w:cs="Times New Roman"/>
          <w:color w:val="333333"/>
        </w:rPr>
        <w:t>Linux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>.</w:t>
      </w:r>
    </w:p>
    <w:p w:rsidR="002A3BF5" w:rsidRPr="00E761E0" w:rsidRDefault="00E761E0" w:rsidP="00E761E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E761E0">
        <w:rPr>
          <w:rFonts w:ascii="Times New Roman" w:eastAsia="Times New Roman" w:hAnsi="Times New Roman" w:cs="Times New Roman"/>
          <w:color w:val="333333"/>
          <w:lang w:val="ru-RU"/>
        </w:rPr>
        <w:t>Оборудование входит в реестр</w:t>
      </w:r>
      <w:bookmarkStart w:id="0" w:name="_GoBack"/>
      <w:bookmarkEnd w:id="0"/>
      <w:r w:rsidRPr="00E761E0">
        <w:rPr>
          <w:rFonts w:ascii="Times New Roman" w:eastAsia="Times New Roman" w:hAnsi="Times New Roman" w:cs="Times New Roman"/>
          <w:color w:val="333333"/>
          <w:lang w:val="ru-RU"/>
        </w:rPr>
        <w:t xml:space="preserve"> МПТ (Реестровый номер № 10538018, исторический реестровый номер № 139 </w:t>
      </w:r>
      <w:r w:rsidRPr="00E761E0">
        <w:rPr>
          <w:rFonts w:ascii="Times New Roman" w:eastAsia="Times New Roman" w:hAnsi="Times New Roman" w:cs="Times New Roman"/>
          <w:color w:val="333333"/>
        </w:rPr>
        <w:t></w:t>
      </w:r>
      <w:r w:rsidRPr="00E761E0">
        <w:rPr>
          <w:rFonts w:ascii="Times New Roman" w:eastAsia="Times New Roman" w:hAnsi="Times New Roman" w:cs="Times New Roman"/>
          <w:color w:val="333333"/>
          <w:lang w:val="ru-RU"/>
        </w:rPr>
        <w:t>4).</w:t>
      </w:r>
    </w:p>
    <w:p w:rsidR="002A3BF5" w:rsidRPr="00E761E0" w:rsidRDefault="002A3BF5" w:rsidP="00E761E0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2A3BF5" w:rsidRPr="00E761E0" w:rsidRDefault="002A3BF5">
      <w:pPr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2A3BF5" w:rsidRPr="00E761E0" w:rsidRDefault="00E761E0">
      <w:pPr>
        <w:pStyle w:val="2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E761E0">
        <w:rPr>
          <w:rFonts w:ascii="Times New Roman" w:hAnsi="Times New Roman" w:cs="Times New Roman"/>
        </w:rPr>
        <w:t>Дополнительная</w:t>
      </w:r>
      <w:proofErr w:type="spellEnd"/>
      <w:r w:rsidRPr="00E761E0">
        <w:rPr>
          <w:rFonts w:ascii="Times New Roman" w:hAnsi="Times New Roman" w:cs="Times New Roman"/>
        </w:rPr>
        <w:t xml:space="preserve"> </w:t>
      </w:r>
      <w:proofErr w:type="spellStart"/>
      <w:r w:rsidRPr="00E761E0">
        <w:rPr>
          <w:rFonts w:ascii="Times New Roman" w:hAnsi="Times New Roman" w:cs="Times New Roman"/>
        </w:rPr>
        <w:t>информация</w:t>
      </w:r>
      <w:proofErr w:type="spellEnd"/>
    </w:p>
    <w:p w:rsidR="002A3BF5" w:rsidRPr="00E761E0" w:rsidRDefault="00E761E0" w:rsidP="00E761E0">
      <w:pPr>
        <w:jc w:val="both"/>
        <w:rPr>
          <w:rFonts w:ascii="Times New Roman" w:hAnsi="Times New Roman" w:cs="Times New Roman"/>
          <w:lang w:val="ru-RU"/>
        </w:rPr>
      </w:pPr>
      <w:r w:rsidRPr="00E761E0">
        <w:rPr>
          <w:rFonts w:ascii="Times New Roman" w:hAnsi="Times New Roman" w:cs="Times New Roman"/>
          <w:lang w:val="ru-RU"/>
        </w:rPr>
        <w:t>Данный ИПКВ не включён в стратегические документы компании, а также не связан с другими проектами</w:t>
      </w:r>
      <w:r w:rsidRPr="00E761E0">
        <w:rPr>
          <w:rFonts w:ascii="Times New Roman" w:hAnsi="Times New Roman" w:cs="Times New Roman"/>
          <w:lang w:val="ru-RU"/>
        </w:rPr>
        <w:t>.</w:t>
      </w:r>
    </w:p>
    <w:p w:rsidR="002A3BF5" w:rsidRPr="00E761E0" w:rsidRDefault="00E761E0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E761E0">
        <w:rPr>
          <w:rFonts w:ascii="Times New Roman" w:hAnsi="Times New Roman" w:cs="Times New Roman"/>
        </w:rPr>
        <w:t>ОБЪЕМ, СРОКИ И ЗАТРАТЫ ИПКВ</w:t>
      </w:r>
    </w:p>
    <w:p w:rsidR="002A3BF5" w:rsidRPr="00E761E0" w:rsidRDefault="00E761E0">
      <w:pPr>
        <w:pStyle w:val="Normalparagraph"/>
        <w:rPr>
          <w:rFonts w:ascii="Times New Roman" w:hAnsi="Times New Roman" w:cs="Times New Roman"/>
          <w:lang w:val="ru-RU"/>
        </w:rPr>
      </w:pPr>
      <w:r w:rsidRPr="00E761E0">
        <w:rPr>
          <w:rFonts w:ascii="Times New Roman" w:hAnsi="Times New Roman" w:cs="Times New Roman"/>
          <w:lang w:val="ru-RU"/>
        </w:rPr>
        <w:t>Начало выполнения работ - 3 квартал 2025 г.</w:t>
      </w:r>
    </w:p>
    <w:p w:rsidR="002A3BF5" w:rsidRPr="00E761E0" w:rsidRDefault="00E761E0">
      <w:pPr>
        <w:pStyle w:val="Normalparagraph"/>
        <w:spacing w:before="57"/>
        <w:rPr>
          <w:rFonts w:ascii="Times New Roman" w:hAnsi="Times New Roman" w:cs="Times New Roman"/>
          <w:lang w:val="ru-RU"/>
        </w:rPr>
      </w:pPr>
      <w:r w:rsidRPr="00E761E0">
        <w:rPr>
          <w:rFonts w:ascii="Times New Roman" w:hAnsi="Times New Roman" w:cs="Times New Roman"/>
          <w:lang w:val="ru-RU"/>
        </w:rPr>
        <w:t>Завершение работ - 3 квартал 2025 г.</w:t>
      </w:r>
    </w:p>
    <w:p w:rsidR="002A3BF5" w:rsidRPr="00E761E0" w:rsidRDefault="00E761E0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  <w:lang w:val="ru-RU"/>
        </w:rPr>
      </w:pPr>
      <w:r w:rsidRPr="00E761E0">
        <w:rPr>
          <w:rFonts w:ascii="Times New Roman" w:hAnsi="Times New Roman" w:cs="Times New Roman"/>
          <w:b/>
          <w:bCs/>
          <w:sz w:val="22"/>
          <w:lang w:val="ru-RU"/>
        </w:rPr>
        <w:t>Таблица 1.</w:t>
      </w:r>
    </w:p>
    <w:p w:rsidR="002A3BF5" w:rsidRPr="00E761E0" w:rsidRDefault="00E761E0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  <w:lang w:val="ru-RU"/>
        </w:rPr>
      </w:pPr>
      <w:r w:rsidRPr="00E761E0">
        <w:rPr>
          <w:rFonts w:ascii="Times New Roman" w:hAnsi="Times New Roman" w:cs="Times New Roman"/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3466"/>
        <w:gridCol w:w="992"/>
        <w:gridCol w:w="992"/>
        <w:gridCol w:w="1247"/>
        <w:gridCol w:w="1544"/>
        <w:gridCol w:w="1191"/>
      </w:tblGrid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r w:rsidRPr="00E761E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50" w:type="pct"/>
            <w:shd w:val="clear" w:color="8C8C8C" w:fill="8C8C8C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E761E0">
              <w:rPr>
                <w:rFonts w:ascii="Times New Roman" w:hAnsi="Times New Roman" w:cs="Times New Roman"/>
              </w:rPr>
              <w:t>Статья</w:t>
            </w:r>
            <w:proofErr w:type="spellEnd"/>
            <w:r w:rsidRPr="00E76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E0">
              <w:rPr>
                <w:rFonts w:ascii="Times New Roman" w:hAnsi="Times New Roman" w:cs="Times New Roman"/>
              </w:rP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E761E0">
              <w:rPr>
                <w:rFonts w:ascii="Times New Roman" w:hAnsi="Times New Roman" w:cs="Times New Roman"/>
              </w:rPr>
              <w:t>Кол-во</w:t>
            </w:r>
            <w:proofErr w:type="spellEnd"/>
            <w:r w:rsidRPr="00E761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61E0">
              <w:rPr>
                <w:rFonts w:ascii="Times New Roman" w:hAnsi="Times New Roman" w:cs="Times New Roman"/>
              </w:rPr>
              <w:t>шт</w:t>
            </w:r>
            <w:proofErr w:type="spellEnd"/>
            <w:r w:rsidRPr="00E761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shd w:val="clear" w:color="8C8C8C" w:fill="8C8C8C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E761E0">
              <w:rPr>
                <w:rFonts w:ascii="Times New Roman" w:hAnsi="Times New Roman" w:cs="Times New Roman"/>
              </w:rPr>
              <w:t>Цена</w:t>
            </w:r>
            <w:proofErr w:type="spellEnd"/>
            <w:r w:rsidRPr="00E76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E0">
              <w:rPr>
                <w:rFonts w:ascii="Times New Roman" w:hAnsi="Times New Roman" w:cs="Times New Roman"/>
              </w:rPr>
              <w:t>за</w:t>
            </w:r>
            <w:proofErr w:type="spellEnd"/>
            <w:r w:rsidRPr="00E76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E0">
              <w:rPr>
                <w:rFonts w:ascii="Times New Roman" w:hAnsi="Times New Roman" w:cs="Times New Roman"/>
              </w:rPr>
              <w:t>ед</w:t>
            </w:r>
            <w:proofErr w:type="spellEnd"/>
            <w:r w:rsidRPr="00E761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7" w:type="dxa"/>
            <w:shd w:val="clear" w:color="8C8C8C" w:fill="8C8C8C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E761E0">
              <w:rPr>
                <w:rFonts w:ascii="Times New Roman" w:hAnsi="Times New Roman" w:cs="Times New Roman"/>
              </w:rP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r w:rsidRPr="00E761E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91" w:type="dxa"/>
            <w:shd w:val="clear" w:color="8C8C8C" w:fill="8C8C8C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E761E0">
              <w:rPr>
                <w:rFonts w:ascii="Times New Roman" w:hAnsi="Times New Roman" w:cs="Times New Roman"/>
              </w:rPr>
              <w:t>Итого</w:t>
            </w:r>
            <w:proofErr w:type="spellEnd"/>
            <w:r w:rsidRPr="00E76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E0">
              <w:rPr>
                <w:rFonts w:ascii="Times New Roman" w:hAnsi="Times New Roman" w:cs="Times New Roman"/>
              </w:rPr>
              <w:t>без</w:t>
            </w:r>
            <w:proofErr w:type="spellEnd"/>
            <w:r w:rsidRPr="00E761E0">
              <w:rPr>
                <w:rFonts w:ascii="Times New Roman" w:hAnsi="Times New Roman" w:cs="Times New Roman"/>
              </w:rPr>
              <w:t xml:space="preserve"> НДС</w:t>
            </w:r>
          </w:p>
        </w:tc>
      </w:tr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A3BF5" w:rsidRPr="00E761E0" w:rsidRDefault="00E761E0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E761E0">
              <w:rPr>
                <w:rFonts w:ascii="Times New Roman" w:hAnsi="Times New Roman" w:cs="Times New Roman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2A3BF5" w:rsidRPr="00E761E0" w:rsidRDefault="00E761E0">
            <w:pPr>
              <w:pStyle w:val="16"/>
              <w:rPr>
                <w:rFonts w:ascii="Times New Roman" w:hAnsi="Times New Roman" w:cs="Times New Roman"/>
              </w:rPr>
            </w:pPr>
            <w:r w:rsidRPr="00E761E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50" w:type="pct"/>
            <w:vMerge w:val="restart"/>
          </w:tcPr>
          <w:p w:rsidR="002A3BF5" w:rsidRPr="00E761E0" w:rsidRDefault="00E761E0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E761E0">
              <w:rPr>
                <w:rFonts w:ascii="Times New Roman" w:hAnsi="Times New Roman" w:cs="Times New Roman"/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E761E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E761E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E761E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</w:rPr>
            </w:pPr>
            <w:r w:rsidRPr="00E761E0">
              <w:rPr>
                <w:rFonts w:ascii="Times New Roman" w:hAnsi="Times New Roman" w:cs="Times New Roman"/>
              </w:rPr>
              <w:t>25 204</w:t>
            </w:r>
          </w:p>
        </w:tc>
        <w:tc>
          <w:tcPr>
            <w:tcW w:w="1191" w:type="dxa"/>
            <w:vMerge w:val="restart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</w:rPr>
            </w:pPr>
            <w:r w:rsidRPr="00E761E0">
              <w:rPr>
                <w:rFonts w:ascii="Times New Roman" w:hAnsi="Times New Roman" w:cs="Times New Roman"/>
              </w:rPr>
              <w:t>25 204</w:t>
            </w:r>
          </w:p>
        </w:tc>
      </w:tr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A3BF5" w:rsidRPr="00E761E0" w:rsidRDefault="00E761E0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>25 204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>25 204</w:t>
            </w:r>
          </w:p>
        </w:tc>
      </w:tr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A3BF5" w:rsidRPr="00E761E0" w:rsidRDefault="00E761E0">
            <w:pPr>
              <w:pStyle w:val="16"/>
              <w:rPr>
                <w:rFonts w:ascii="Times New Roman" w:hAnsi="Times New Roman" w:cs="Times New Roman"/>
                <w:bCs/>
                <w:lang w:val="ru-RU"/>
              </w:rPr>
            </w:pPr>
            <w:r w:rsidRPr="00E761E0">
              <w:rPr>
                <w:rFonts w:ascii="Times New Roman" w:hAnsi="Times New Roman" w:cs="Times New Roman"/>
                <w:lang w:val="ru-RU"/>
              </w:rPr>
              <w:t>2. Затраты, относящиеся на операционную деятельность</w:t>
            </w:r>
          </w:p>
        </w:tc>
      </w:tr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A3BF5" w:rsidRPr="00E761E0" w:rsidRDefault="00E761E0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A3BF5" w:rsidRPr="00E761E0" w:rsidRDefault="002A3BF5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A3BF5" w:rsidRPr="00E761E0" w:rsidRDefault="002A3BF5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A3BF5" w:rsidRPr="00E761E0" w:rsidRDefault="002A3BF5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</w:tr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2A3BF5" w:rsidRPr="00E761E0" w:rsidRDefault="00E761E0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>25 204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>25 204</w:t>
            </w:r>
          </w:p>
        </w:tc>
      </w:tr>
    </w:tbl>
    <w:p w:rsidR="002A3BF5" w:rsidRPr="00E761E0" w:rsidRDefault="002A3BF5">
      <w:pPr>
        <w:rPr>
          <w:rFonts w:ascii="Times New Roman" w:hAnsi="Times New Roman" w:cs="Times New Roman"/>
        </w:rPr>
      </w:pPr>
    </w:p>
    <w:p w:rsidR="002A3BF5" w:rsidRPr="00E761E0" w:rsidRDefault="00E761E0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</w:rPr>
      </w:pPr>
      <w:proofErr w:type="spellStart"/>
      <w:r w:rsidRPr="00E761E0">
        <w:rPr>
          <w:rFonts w:ascii="Times New Roman" w:hAnsi="Times New Roman" w:cs="Times New Roman"/>
          <w:b/>
          <w:bCs/>
          <w:sz w:val="22"/>
        </w:rPr>
        <w:t>Таблица</w:t>
      </w:r>
      <w:proofErr w:type="spellEnd"/>
      <w:r w:rsidRPr="00E761E0">
        <w:rPr>
          <w:rFonts w:ascii="Times New Roman" w:hAnsi="Times New Roman" w:cs="Times New Roman"/>
          <w:b/>
          <w:bCs/>
          <w:sz w:val="22"/>
        </w:rPr>
        <w:t xml:space="preserve"> 2.</w:t>
      </w:r>
    </w:p>
    <w:p w:rsidR="002A3BF5" w:rsidRPr="00E761E0" w:rsidRDefault="00E761E0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  <w:lang w:val="ru-RU"/>
        </w:rPr>
      </w:pPr>
      <w:r w:rsidRPr="00E761E0">
        <w:rPr>
          <w:rFonts w:ascii="Times New Roman" w:hAnsi="Times New Roman" w:cs="Times New Roman"/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3466"/>
        <w:gridCol w:w="992"/>
        <w:gridCol w:w="992"/>
        <w:gridCol w:w="1247"/>
        <w:gridCol w:w="1544"/>
        <w:gridCol w:w="1191"/>
      </w:tblGrid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r w:rsidRPr="00E761E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50" w:type="pct"/>
            <w:shd w:val="clear" w:color="8C8C8C" w:fill="8C8C8C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E761E0">
              <w:rPr>
                <w:rFonts w:ascii="Times New Roman" w:hAnsi="Times New Roman" w:cs="Times New Roman"/>
              </w:rPr>
              <w:t>Статья</w:t>
            </w:r>
            <w:proofErr w:type="spellEnd"/>
            <w:r w:rsidRPr="00E76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E0">
              <w:rPr>
                <w:rFonts w:ascii="Times New Roman" w:hAnsi="Times New Roman" w:cs="Times New Roman"/>
              </w:rP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E761E0">
              <w:rPr>
                <w:rFonts w:ascii="Times New Roman" w:hAnsi="Times New Roman" w:cs="Times New Roman"/>
              </w:rPr>
              <w:t>Кол-во</w:t>
            </w:r>
            <w:proofErr w:type="spellEnd"/>
            <w:r w:rsidRPr="00E761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61E0">
              <w:rPr>
                <w:rFonts w:ascii="Times New Roman" w:hAnsi="Times New Roman" w:cs="Times New Roman"/>
              </w:rPr>
              <w:t>шт</w:t>
            </w:r>
            <w:proofErr w:type="spellEnd"/>
            <w:r w:rsidRPr="00E761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shd w:val="clear" w:color="8C8C8C" w:fill="8C8C8C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E761E0">
              <w:rPr>
                <w:rFonts w:ascii="Times New Roman" w:hAnsi="Times New Roman" w:cs="Times New Roman"/>
              </w:rPr>
              <w:t>Цена</w:t>
            </w:r>
            <w:proofErr w:type="spellEnd"/>
            <w:r w:rsidRPr="00E76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E0">
              <w:rPr>
                <w:rFonts w:ascii="Times New Roman" w:hAnsi="Times New Roman" w:cs="Times New Roman"/>
              </w:rPr>
              <w:t>за</w:t>
            </w:r>
            <w:proofErr w:type="spellEnd"/>
            <w:r w:rsidRPr="00E76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E0">
              <w:rPr>
                <w:rFonts w:ascii="Times New Roman" w:hAnsi="Times New Roman" w:cs="Times New Roman"/>
              </w:rPr>
              <w:t>ед</w:t>
            </w:r>
            <w:proofErr w:type="spellEnd"/>
            <w:r w:rsidRPr="00E761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7" w:type="dxa"/>
            <w:shd w:val="clear" w:color="8C8C8C" w:fill="8C8C8C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E761E0">
              <w:rPr>
                <w:rFonts w:ascii="Times New Roman" w:hAnsi="Times New Roman" w:cs="Times New Roman"/>
              </w:rP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r w:rsidRPr="00E761E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91" w:type="dxa"/>
            <w:shd w:val="clear" w:color="8C8C8C" w:fill="8C8C8C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E761E0">
              <w:rPr>
                <w:rFonts w:ascii="Times New Roman" w:hAnsi="Times New Roman" w:cs="Times New Roman"/>
              </w:rPr>
              <w:t>Итого</w:t>
            </w:r>
            <w:proofErr w:type="spellEnd"/>
            <w:r w:rsidRPr="00E761E0">
              <w:rPr>
                <w:rFonts w:ascii="Times New Roman" w:hAnsi="Times New Roman" w:cs="Times New Roman"/>
              </w:rPr>
              <w:t xml:space="preserve"> с НДС</w:t>
            </w:r>
          </w:p>
        </w:tc>
      </w:tr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A3BF5" w:rsidRPr="00E761E0" w:rsidRDefault="00E761E0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E761E0">
              <w:rPr>
                <w:rFonts w:ascii="Times New Roman" w:hAnsi="Times New Roman" w:cs="Times New Roman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2A3BF5" w:rsidRPr="00E761E0" w:rsidRDefault="00E761E0">
            <w:pPr>
              <w:pStyle w:val="16"/>
              <w:rPr>
                <w:rFonts w:ascii="Times New Roman" w:hAnsi="Times New Roman" w:cs="Times New Roman"/>
              </w:rPr>
            </w:pPr>
            <w:r w:rsidRPr="00E761E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50" w:type="pct"/>
            <w:vMerge w:val="restart"/>
          </w:tcPr>
          <w:p w:rsidR="002A3BF5" w:rsidRPr="00E761E0" w:rsidRDefault="00E761E0">
            <w:pPr>
              <w:pStyle w:val="16"/>
              <w:rPr>
                <w:rFonts w:ascii="Times New Roman" w:hAnsi="Times New Roman" w:cs="Times New Roman"/>
                <w:lang w:val="ru-RU"/>
              </w:rPr>
            </w:pPr>
            <w:r w:rsidRPr="00E761E0">
              <w:rPr>
                <w:rFonts w:ascii="Times New Roman" w:hAnsi="Times New Roman" w:cs="Times New Roman"/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E761E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E761E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lang w:val="ru-RU"/>
              </w:rPr>
            </w:pPr>
            <w:r w:rsidRPr="00E761E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</w:rPr>
            </w:pPr>
            <w:r w:rsidRPr="00E761E0">
              <w:rPr>
                <w:rFonts w:ascii="Times New Roman" w:hAnsi="Times New Roman" w:cs="Times New Roman"/>
              </w:rPr>
              <w:t>30 245</w:t>
            </w:r>
          </w:p>
        </w:tc>
        <w:tc>
          <w:tcPr>
            <w:tcW w:w="1191" w:type="dxa"/>
            <w:vMerge w:val="restart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</w:rPr>
            </w:pPr>
            <w:r w:rsidRPr="00E761E0">
              <w:rPr>
                <w:rFonts w:ascii="Times New Roman" w:hAnsi="Times New Roman" w:cs="Times New Roman"/>
              </w:rPr>
              <w:t>30 245</w:t>
            </w:r>
          </w:p>
        </w:tc>
      </w:tr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A3BF5" w:rsidRPr="00E761E0" w:rsidRDefault="00E761E0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>30 245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>30 245</w:t>
            </w:r>
          </w:p>
        </w:tc>
      </w:tr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A3BF5" w:rsidRPr="00E761E0" w:rsidRDefault="00E761E0">
            <w:pPr>
              <w:pStyle w:val="16"/>
              <w:rPr>
                <w:rFonts w:ascii="Times New Roman" w:hAnsi="Times New Roman" w:cs="Times New Roman"/>
                <w:bCs/>
                <w:lang w:val="ru-RU"/>
              </w:rPr>
            </w:pPr>
            <w:r w:rsidRPr="00E761E0">
              <w:rPr>
                <w:rFonts w:ascii="Times New Roman" w:hAnsi="Times New Roman" w:cs="Times New Roman"/>
                <w:lang w:val="ru-RU"/>
              </w:rPr>
              <w:t>2. Затраты, относящиеся на операционную деятельность</w:t>
            </w:r>
          </w:p>
        </w:tc>
      </w:tr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A3BF5" w:rsidRPr="00E761E0" w:rsidRDefault="00E761E0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A3BF5" w:rsidRPr="00E761E0" w:rsidRDefault="002A3BF5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A3BF5" w:rsidRPr="00E761E0" w:rsidRDefault="002A3BF5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A3BF5" w:rsidRPr="00E761E0" w:rsidRDefault="002A3BF5">
            <w:pPr>
              <w:pStyle w:val="15"/>
              <w:rPr>
                <w:rFonts w:ascii="Times New Roman" w:hAnsi="Times New Roman" w:cs="Times New Roman"/>
                <w:bCs/>
              </w:rPr>
            </w:pPr>
          </w:p>
        </w:tc>
      </w:tr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2A3BF5" w:rsidRPr="00E761E0" w:rsidRDefault="00E761E0">
            <w:pPr>
              <w:pStyle w:val="16"/>
              <w:jc w:val="right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>30 245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2A3BF5" w:rsidRPr="00E761E0" w:rsidRDefault="00E761E0">
            <w:pPr>
              <w:pStyle w:val="15"/>
              <w:rPr>
                <w:rFonts w:ascii="Times New Roman" w:hAnsi="Times New Roman" w:cs="Times New Roman"/>
                <w:bCs/>
              </w:rPr>
            </w:pPr>
            <w:r w:rsidRPr="00E761E0">
              <w:rPr>
                <w:rFonts w:ascii="Times New Roman" w:hAnsi="Times New Roman" w:cs="Times New Roman"/>
                <w:bCs/>
              </w:rPr>
              <w:t>30 245</w:t>
            </w:r>
          </w:p>
        </w:tc>
      </w:tr>
    </w:tbl>
    <w:p w:rsidR="002A3BF5" w:rsidRPr="00E761E0" w:rsidRDefault="002A3BF5">
      <w:pPr>
        <w:rPr>
          <w:rFonts w:ascii="Times New Roman" w:hAnsi="Times New Roman" w:cs="Times New Roman"/>
        </w:rPr>
      </w:pPr>
    </w:p>
    <w:p w:rsidR="002A3BF5" w:rsidRPr="00E761E0" w:rsidRDefault="00E761E0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 w:val="22"/>
        </w:rPr>
      </w:pPr>
      <w:proofErr w:type="spellStart"/>
      <w:r w:rsidRPr="00E761E0">
        <w:rPr>
          <w:rFonts w:ascii="Times New Roman" w:hAnsi="Times New Roman" w:cs="Times New Roman"/>
          <w:b/>
          <w:bCs/>
          <w:sz w:val="22"/>
        </w:rPr>
        <w:t>Таблица</w:t>
      </w:r>
      <w:proofErr w:type="spellEnd"/>
      <w:r w:rsidRPr="00E761E0">
        <w:rPr>
          <w:rFonts w:ascii="Times New Roman" w:hAnsi="Times New Roman" w:cs="Times New Roman"/>
          <w:b/>
          <w:bCs/>
          <w:sz w:val="22"/>
        </w:rPr>
        <w:t xml:space="preserve"> 3.</w:t>
      </w:r>
    </w:p>
    <w:p w:rsidR="002A3BF5" w:rsidRPr="00E761E0" w:rsidRDefault="00E761E0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 w:val="22"/>
        </w:rPr>
      </w:pPr>
      <w:proofErr w:type="spellStart"/>
      <w:r w:rsidRPr="00E761E0">
        <w:rPr>
          <w:rFonts w:ascii="Times New Roman" w:hAnsi="Times New Roman" w:cs="Times New Roman"/>
          <w:sz w:val="22"/>
        </w:rPr>
        <w:lastRenderedPageBreak/>
        <w:t>Ключевые</w:t>
      </w:r>
      <w:proofErr w:type="spellEnd"/>
      <w:r w:rsidRPr="00E761E0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E761E0">
        <w:rPr>
          <w:rFonts w:ascii="Times New Roman" w:hAnsi="Times New Roman" w:cs="Times New Roman"/>
          <w:sz w:val="22"/>
        </w:rPr>
        <w:t>контрольные</w:t>
      </w:r>
      <w:proofErr w:type="spellEnd"/>
      <w:r w:rsidRPr="00E761E0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E761E0">
        <w:rPr>
          <w:rFonts w:ascii="Times New Roman" w:hAnsi="Times New Roman" w:cs="Times New Roman"/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36"/>
        <w:gridCol w:w="2654"/>
        <w:gridCol w:w="2512"/>
      </w:tblGrid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r w:rsidRPr="00E761E0">
              <w:rPr>
                <w:rFonts w:ascii="Times New Roman" w:hAnsi="Times New Roman" w:cs="Times New Roman"/>
              </w:rPr>
              <w:t>КЛЮЧЕВЫЕ КОНТРОЛЬНЫЕ ТОЧКИ</w:t>
            </w:r>
          </w:p>
        </w:tc>
      </w:tr>
      <w:tr w:rsidR="002A3BF5" w:rsidRPr="00E7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E761E0">
              <w:rPr>
                <w:rFonts w:ascii="Times New Roman" w:hAnsi="Times New Roman" w:cs="Times New Roman"/>
              </w:rPr>
              <w:t>Название</w:t>
            </w:r>
            <w:proofErr w:type="spellEnd"/>
            <w:r w:rsidRPr="00E76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E0">
              <w:rPr>
                <w:rFonts w:ascii="Times New Roman" w:hAnsi="Times New Roman" w:cs="Times New Roman"/>
              </w:rPr>
              <w:t>контрольной</w:t>
            </w:r>
            <w:proofErr w:type="spellEnd"/>
            <w:r w:rsidRPr="00E76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E0">
              <w:rPr>
                <w:rFonts w:ascii="Times New Roman" w:hAnsi="Times New Roman" w:cs="Times New Roman"/>
              </w:rPr>
              <w:t>точки</w:t>
            </w:r>
            <w:proofErr w:type="spellEnd"/>
          </w:p>
        </w:tc>
        <w:tc>
          <w:tcPr>
            <w:tcW w:w="0" w:type="auto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E761E0">
              <w:rPr>
                <w:rFonts w:ascii="Times New Roman" w:hAnsi="Times New Roman" w:cs="Times New Roman"/>
              </w:rPr>
              <w:t>Ответственный</w:t>
            </w:r>
            <w:proofErr w:type="spellEnd"/>
          </w:p>
        </w:tc>
        <w:tc>
          <w:tcPr>
            <w:tcW w:w="0" w:type="auto"/>
          </w:tcPr>
          <w:p w:rsidR="002A3BF5" w:rsidRPr="00E761E0" w:rsidRDefault="00E761E0">
            <w:pPr>
              <w:pStyle w:val="14"/>
              <w:rPr>
                <w:rFonts w:ascii="Times New Roman" w:hAnsi="Times New Roman" w:cs="Times New Roman"/>
              </w:rPr>
            </w:pPr>
            <w:proofErr w:type="spellStart"/>
            <w:r w:rsidRPr="00E761E0">
              <w:rPr>
                <w:rFonts w:ascii="Times New Roman" w:hAnsi="Times New Roman" w:cs="Times New Roman"/>
              </w:rPr>
              <w:t>Плановая</w:t>
            </w:r>
            <w:proofErr w:type="spellEnd"/>
            <w:r w:rsidRPr="00E76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E0">
              <w:rPr>
                <w:rFonts w:ascii="Times New Roman" w:hAnsi="Times New Roman" w:cs="Times New Roman"/>
              </w:rPr>
              <w:t>дата</w:t>
            </w:r>
            <w:proofErr w:type="spellEnd"/>
          </w:p>
        </w:tc>
      </w:tr>
    </w:tbl>
    <w:p w:rsidR="002A3BF5" w:rsidRPr="00E761E0" w:rsidRDefault="002A3BF5">
      <w:pPr>
        <w:rPr>
          <w:rFonts w:ascii="Times New Roman" w:hAnsi="Times New Roman" w:cs="Times New Roman"/>
        </w:rPr>
      </w:pPr>
    </w:p>
    <w:p w:rsidR="002A3BF5" w:rsidRPr="00E761E0" w:rsidRDefault="00E761E0">
      <w:pPr>
        <w:pStyle w:val="1"/>
        <w:numPr>
          <w:ilvl w:val="0"/>
          <w:numId w:val="1"/>
        </w:numPr>
        <w:rPr>
          <w:rFonts w:ascii="Times New Roman" w:hAnsi="Times New Roman" w:cs="Times New Roman"/>
        </w:rPr>
      </w:pPr>
      <w:r w:rsidRPr="00E761E0">
        <w:rPr>
          <w:rFonts w:ascii="Times New Roman" w:hAnsi="Times New Roman" w:cs="Times New Roman"/>
        </w:rPr>
        <w:t>КОНТАКТНОЕ ЛИЦО</w:t>
      </w:r>
    </w:p>
    <w:p w:rsidR="002A3BF5" w:rsidRPr="00E761E0" w:rsidRDefault="00E761E0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E761E0">
        <w:rPr>
          <w:rFonts w:ascii="Times New Roman" w:hAnsi="Times New Roman" w:cs="Times New Roman"/>
        </w:rPr>
        <w:t xml:space="preserve"> - </w:t>
      </w:r>
      <w:proofErr w:type="spellStart"/>
      <w:r w:rsidRPr="00E761E0">
        <w:rPr>
          <w:rFonts w:ascii="Times New Roman" w:hAnsi="Times New Roman" w:cs="Times New Roman"/>
        </w:rPr>
        <w:t>Куратор</w:t>
      </w:r>
      <w:proofErr w:type="spellEnd"/>
      <w:r w:rsidRPr="00E761E0">
        <w:rPr>
          <w:rFonts w:ascii="Times New Roman" w:hAnsi="Times New Roman" w:cs="Times New Roman"/>
        </w:rPr>
        <w:t xml:space="preserve"> ИПКВ:   </w:t>
      </w:r>
    </w:p>
    <w:p w:rsidR="002A3BF5" w:rsidRPr="00E761E0" w:rsidRDefault="00E761E0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E761E0">
        <w:rPr>
          <w:rFonts w:ascii="Times New Roman" w:hAnsi="Times New Roman" w:cs="Times New Roman"/>
        </w:rPr>
        <w:t xml:space="preserve"> - </w:t>
      </w:r>
      <w:proofErr w:type="spellStart"/>
      <w:r w:rsidRPr="00E761E0">
        <w:rPr>
          <w:rFonts w:ascii="Times New Roman" w:hAnsi="Times New Roman" w:cs="Times New Roman"/>
        </w:rPr>
        <w:t>Единое</w:t>
      </w:r>
      <w:proofErr w:type="spellEnd"/>
      <w:r w:rsidRPr="00E761E0">
        <w:rPr>
          <w:rFonts w:ascii="Times New Roman" w:hAnsi="Times New Roman" w:cs="Times New Roman"/>
        </w:rPr>
        <w:t xml:space="preserve"> </w:t>
      </w:r>
      <w:proofErr w:type="spellStart"/>
      <w:r w:rsidRPr="00E761E0">
        <w:rPr>
          <w:rFonts w:ascii="Times New Roman" w:hAnsi="Times New Roman" w:cs="Times New Roman"/>
        </w:rPr>
        <w:t>ответственное</w:t>
      </w:r>
      <w:proofErr w:type="spellEnd"/>
      <w:r w:rsidRPr="00E761E0">
        <w:rPr>
          <w:rFonts w:ascii="Times New Roman" w:hAnsi="Times New Roman" w:cs="Times New Roman"/>
        </w:rPr>
        <w:t xml:space="preserve"> </w:t>
      </w:r>
      <w:proofErr w:type="spellStart"/>
      <w:r w:rsidRPr="00E761E0">
        <w:rPr>
          <w:rFonts w:ascii="Times New Roman" w:hAnsi="Times New Roman" w:cs="Times New Roman"/>
        </w:rPr>
        <w:t>лицо</w:t>
      </w:r>
      <w:proofErr w:type="spellEnd"/>
      <w:r w:rsidRPr="00E761E0">
        <w:rPr>
          <w:rFonts w:ascii="Times New Roman" w:hAnsi="Times New Roman" w:cs="Times New Roman"/>
        </w:rPr>
        <w:t xml:space="preserve"> ИПКВ:   </w:t>
      </w:r>
    </w:p>
    <w:p w:rsidR="002A3BF5" w:rsidRPr="00E761E0" w:rsidRDefault="00E761E0">
      <w:pPr>
        <w:pStyle w:val="Normalparagraph"/>
        <w:spacing w:before="283" w:after="113"/>
        <w:rPr>
          <w:rFonts w:ascii="Times New Roman" w:hAnsi="Times New Roman" w:cs="Times New Roman"/>
        </w:rPr>
      </w:pPr>
      <w:r w:rsidRPr="00E761E0">
        <w:rPr>
          <w:rFonts w:ascii="Times New Roman" w:hAnsi="Times New Roman" w:cs="Times New Roman"/>
        </w:rPr>
        <w:t xml:space="preserve"> - </w:t>
      </w:r>
      <w:proofErr w:type="spellStart"/>
      <w:r w:rsidRPr="00E761E0">
        <w:rPr>
          <w:rFonts w:ascii="Times New Roman" w:hAnsi="Times New Roman" w:cs="Times New Roman"/>
        </w:rPr>
        <w:t>Заказчик</w:t>
      </w:r>
      <w:proofErr w:type="spellEnd"/>
      <w:r w:rsidRPr="00E761E0">
        <w:rPr>
          <w:rFonts w:ascii="Times New Roman" w:hAnsi="Times New Roman" w:cs="Times New Roman"/>
        </w:rPr>
        <w:t xml:space="preserve"> ИПКВ:   </w:t>
      </w:r>
    </w:p>
    <w:p w:rsidR="002A3BF5" w:rsidRPr="00E761E0" w:rsidRDefault="00E761E0">
      <w:pPr>
        <w:pStyle w:val="Normalparagraph"/>
        <w:spacing w:before="283" w:after="113"/>
        <w:rPr>
          <w:rFonts w:ascii="Times New Roman" w:hAnsi="Times New Roman" w:cs="Times New Roman"/>
          <w:lang w:val="ru-RU"/>
        </w:rPr>
      </w:pPr>
      <w:r w:rsidRPr="00E761E0">
        <w:rPr>
          <w:rFonts w:ascii="Times New Roman" w:hAnsi="Times New Roman" w:cs="Times New Roman"/>
          <w:lang w:val="ru-RU"/>
        </w:rPr>
        <w:t xml:space="preserve"> - Инициатор ИПКВ: Ведущий экономист Петербургская сбытовая компания Колосова Олеся Сергеевна</w:t>
      </w:r>
    </w:p>
    <w:sectPr w:rsidR="002A3BF5" w:rsidRPr="00E761E0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BF5" w:rsidRDefault="00E761E0">
      <w:r>
        <w:separator/>
      </w:r>
    </w:p>
  </w:endnote>
  <w:endnote w:type="continuationSeparator" w:id="0">
    <w:p w:rsidR="002A3BF5" w:rsidRDefault="00E7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BF5" w:rsidRDefault="00E761E0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BF5" w:rsidRDefault="00E761E0">
      <w:r>
        <w:separator/>
      </w:r>
    </w:p>
  </w:footnote>
  <w:footnote w:type="continuationSeparator" w:id="0">
    <w:p w:rsidR="002A3BF5" w:rsidRDefault="00E76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735A1"/>
    <w:multiLevelType w:val="multilevel"/>
    <w:tmpl w:val="2F4A7CD0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BF5"/>
    <w:rsid w:val="002A3BF5"/>
    <w:rsid w:val="00E7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C3474-BF1A-476F-9AC3-60D43DA82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552</Words>
  <Characters>3148</Characters>
  <Application>Microsoft Office Word</Application>
  <DocSecurity>0</DocSecurity>
  <Lines>26</Lines>
  <Paragraphs>7</Paragraphs>
  <ScaleCrop>false</ScaleCrop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2024-11-22T07:43:00Z</dcterms:created>
  <dcterms:modified xsi:type="dcterms:W3CDTF">2024-11-22T07:44:00Z</dcterms:modified>
</cp:coreProperties>
</file>